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0"/>
        <w:tblpPr w:horzAnchor="margin" w:tblpXSpec="left" w:vertAnchor="text" w:tblpY="-64" w:leftFromText="180" w:topFromText="0" w:rightFromText="180" w:bottomFromText="0"/>
        <w:tblW w:w="901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10"/>
      </w:tblGrid>
      <w:tr>
        <w:tblPrEx/>
        <w:trPr/>
        <w:tc>
          <w:tcPr>
            <w:gridSpan w:val="2"/>
            <w:shd w:val="clear" w:color="auto" w:fill="auto"/>
            <w:tcW w:w="901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Политика конфиденциальности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редакция от </w:t>
            </w:r>
            <w:r>
              <w:rPr>
                <w:rFonts w:ascii="PT Serif" w:hAnsi="PT Serif" w:eastAsia="Century Gothic" w:cs="Century Gothic"/>
              </w:rPr>
              <w:t xml:space="preserve">30.04.2025 г</w:t>
            </w:r>
            <w:r>
              <w:rPr>
                <w:rFonts w:ascii="PT Serif" w:hAnsi="PT Serif" w:eastAsia="Century Gothic" w:cs="Century Gothic"/>
              </w:rPr>
              <w:t xml:space="preserve">.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gridSpan w:val="2"/>
            <w:tcW w:w="901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shd w:val="clear" w:color="auto" w:fill="auto"/>
            <w:tcW w:w="410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Оператор 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shd w:val="clear" w:color="auto" w:fill="auto"/>
            <w:tcW w:w="4910" w:type="dxa"/>
            <w:textDirection w:val="lrTb"/>
            <w:noWrap w:val="false"/>
          </w:tcPr>
          <w:p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 xml:space="preserve">ОБЩЕСТВО С ОГРАНИЧЕННОЙ</w:t>
            </w:r>
            <w:r>
              <w:rPr>
                <w:rFonts w:ascii="PT Serif" w:hAnsi="PT Serif"/>
                <w:b/>
                <w:bCs/>
              </w:rPr>
              <w:t xml:space="preserve"> </w:t>
            </w:r>
            <w:r>
              <w:rPr>
                <w:rFonts w:ascii="PT Serif" w:hAnsi="PT Serif"/>
                <w:b/>
                <w:bCs/>
              </w:rPr>
              <w:t xml:space="preserve">ОТВЕТСТВЕННОСТЬЮ </w:t>
            </w:r>
            <w:r>
              <w:rPr>
                <w:rFonts w:ascii="PT Serif" w:hAnsi="PT Serif"/>
                <w:b/>
                <w:bCs/>
              </w:rPr>
            </w:r>
          </w:p>
          <w:p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 xml:space="preserve">«</w:t>
            </w:r>
            <w:r>
              <w:rPr>
                <w:rFonts w:ascii="PT Serif" w:hAnsi="PT Serif"/>
                <w:b/>
                <w:bCs/>
              </w:rPr>
              <w:t xml:space="preserve">МАСТЕРСКАЯ ПАРА</w:t>
            </w:r>
            <w:r>
              <w:rPr>
                <w:rFonts w:ascii="PT Serif" w:hAnsi="PT Serif"/>
                <w:b/>
                <w:bCs/>
              </w:rPr>
              <w:t xml:space="preserve">»</w:t>
            </w:r>
            <w:r>
              <w:rPr>
                <w:rFonts w:ascii="PT Serif" w:hAnsi="PT Serif"/>
                <w:b/>
                <w:bCs/>
              </w:rPr>
            </w:r>
          </w:p>
          <w:p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ИНН 7813667202</w:t>
            </w:r>
            <w:r>
              <w:rPr>
                <w:rFonts w:ascii="PT Serif" w:hAnsi="PT Serif"/>
              </w:rPr>
            </w:r>
          </w:p>
          <w:p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КПП 781301001</w:t>
            </w:r>
            <w:r>
              <w:rPr>
                <w:rFonts w:ascii="PT Serif" w:hAnsi="PT Serif"/>
              </w:rPr>
            </w:r>
          </w:p>
          <w:p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ОГРН</w:t>
            </w:r>
            <w:r>
              <w:rPr>
                <w:rFonts w:ascii="PT Serif" w:hAnsi="PT Serif"/>
              </w:rPr>
              <w:t xml:space="preserve"> 1227800123121</w:t>
            </w:r>
            <w:r>
              <w:rPr>
                <w:rFonts w:ascii="PT Serif" w:hAnsi="PT Serif"/>
              </w:rPr>
            </w:r>
          </w:p>
          <w:p>
            <w:pPr>
              <w:rPr>
                <w:rFonts w:ascii="PT Serif" w:hAnsi="PT Serif"/>
              </w:rPr>
            </w:pPr>
            <w:r>
              <w:rPr>
                <w:rFonts w:ascii="PT Serif" w:hAnsi="PT Serif"/>
                <w:lang w:val="en-US"/>
              </w:rPr>
              <w:t xml:space="preserve">e</w:t>
            </w:r>
            <w:r>
              <w:rPr>
                <w:rFonts w:ascii="PT Serif" w:hAnsi="PT Serif"/>
              </w:rPr>
              <w:t xml:space="preserve">-</w:t>
            </w:r>
            <w:r>
              <w:rPr>
                <w:rFonts w:ascii="PT Serif" w:hAnsi="PT Serif"/>
                <w:lang w:val="en-US"/>
              </w:rPr>
              <w:t xml:space="preserve">mail</w:t>
            </w:r>
            <w:r>
              <w:rPr>
                <w:rFonts w:ascii="PT Serif" w:hAnsi="PT Serif"/>
              </w:rPr>
              <w:t xml:space="preserve">: </w:t>
            </w:r>
            <w:hyperlink r:id="rId14" w:tooltip="mailto:info@mpara.ru" w:history="1">
              <w:r>
                <w:rPr>
                  <w:rStyle w:val="749"/>
                  <w:rFonts w:ascii="PT Serif" w:hAnsi="PT Serif"/>
                  <w:lang w:val="en-US"/>
                </w:rPr>
                <w:t xml:space="preserve">info</w:t>
              </w:r>
              <w:r>
                <w:rPr>
                  <w:rStyle w:val="749"/>
                  <w:rFonts w:ascii="PT Serif" w:hAnsi="PT Serif"/>
                </w:rPr>
                <w:t xml:space="preserve">@</w:t>
              </w:r>
              <w:r>
                <w:rPr>
                  <w:rStyle w:val="749"/>
                  <w:rFonts w:ascii="PT Serif" w:hAnsi="PT Serif"/>
                  <w:lang w:val="en-US"/>
                </w:rPr>
                <w:t xml:space="preserve">mpara</w:t>
              </w:r>
              <w:r>
                <w:rPr>
                  <w:rStyle w:val="749"/>
                  <w:rFonts w:ascii="PT Serif" w:hAnsi="PT Serif"/>
                </w:rPr>
                <w:t xml:space="preserve">.</w:t>
              </w:r>
              <w:r>
                <w:rPr>
                  <w:rStyle w:val="749"/>
                  <w:rFonts w:ascii="PT Serif" w:hAnsi="PT Serif"/>
                  <w:lang w:val="en-US"/>
                </w:rPr>
                <w:t xml:space="preserve">ru</w:t>
              </w:r>
            </w:hyperlink>
            <w:r>
              <w:rPr>
                <w:rFonts w:ascii="PT Serif" w:hAnsi="PT Serif"/>
              </w:rPr>
              <w:t xml:space="preserve"> </w:t>
            </w:r>
            <w:r>
              <w:rPr>
                <w:rFonts w:ascii="PT Serif" w:hAnsi="PT Serif"/>
              </w:rPr>
            </w:r>
          </w:p>
        </w:tc>
      </w:tr>
    </w:tbl>
    <w:p>
      <w:pPr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О чем эта политика? 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 Политике изложена информация о том, как Оператор обрабатывает ваши персональные данные и обеспечивает их безопасность и конфиденциальность.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Во исполнение требований ч. 2 ст. 18.1 Федерального закона «О персональных данных» настоящая Политика публикуется в свободном доступе в сети Интернет на ресурсах Оператора.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Ресурсы – электронные ресурсы, в том числе, социальные сети, сервисы, платформы, мессенджеры, каналы Оператора, зарегистрированные на его имя, сайт.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Из Политики вы узнаете, какие персональные данные получает Оператор и как использует.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Что такое персональные данные?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Персональные данные – это любая информация о человеке (субъекте персональных данных), по которым можно его определить.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обрабатывает только те персональные данные, которые перечислены в Политике, и которые характеризуют вас как пользователя Ресурсов.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Вы можете дать согласие на обработку персональных данных при использовании Ресурсов, заполнении форм обратной связи на Ресурсах и иными способами, предусмотренными Политикой.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На каком основании Оператор обрабатывает персональные данные?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обрабатывает персональные данные на следующих правовых основаниях: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5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Согласие субъекта персональных данных (п. 1 ст. 6 ФЗ «О персональных данных») – применяется при обработке данных, передаваемых при использовании Ресурсов, заполнении форм обратной связи, подписке на рассылку, публикации отзывов, использовании </w:t>
      </w:r>
      <w:r>
        <w:rPr>
          <w:rFonts w:ascii="PT Serif" w:hAnsi="PT Serif" w:eastAsia="Century Gothic" w:cs="Century Gothic"/>
        </w:rPr>
        <w:t xml:space="preserve">cookie</w:t>
      </w:r>
      <w:r>
        <w:rPr>
          <w:rFonts w:ascii="PT Serif" w:hAnsi="PT Serif" w:eastAsia="Century Gothic" w:cs="Century Gothic"/>
        </w:rPr>
        <w:t xml:space="preserve">-файлов и иных подобных случаях.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5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Исполнение договора (п. 5 ст. 6 ФЗ «О персональных данных») – применяется при обработке данных, необходимых для подготовки, заключения и исполнения договоров, а также оказания услуг, запрашиваемых пользователем.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5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Исполнение обязанностей, возложенных законод</w:t>
      </w:r>
      <w:r>
        <w:rPr>
          <w:rFonts w:ascii="PT Serif" w:hAnsi="PT Serif" w:eastAsia="Century Gothic" w:cs="Century Gothic"/>
        </w:rPr>
        <w:t xml:space="preserve">ательством РФ (п. 2 ст. 6 ФЗ «О персональных данных») – применяется при обработке персональных данных, необходимых для выполнения требований законодательства, включая налоговый учет, бухгалтерскую отчетность, исполнение предписаний государственных органов.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5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Осуществление законных интересов Оператора (п. 7 ст. 6 ФЗ «О персональн</w:t>
      </w:r>
      <w:r>
        <w:rPr>
          <w:rFonts w:ascii="PT Serif" w:hAnsi="PT Serif" w:eastAsia="Century Gothic" w:cs="Century Gothic"/>
        </w:rPr>
        <w:t xml:space="preserve">ых данных») – применяется при обработке данных для обеспечения безопасности сайта, предотвращения мошенничества, защиты прав Оператора в случае споров, а также при передаче данных третьим лицам для оказания необходимых сервисов (например, платежных услуг).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Какие права есть у вас?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 любой момент, когда у Оператора есть ваши персональные данные, вы можете воспользоваться следующими правами:</w:t>
      </w:r>
      <w:r>
        <w:rPr>
          <w:rFonts w:ascii="PT Serif" w:hAnsi="PT Serif" w:eastAsia="Century Gothic" w:cs="Century Gothic"/>
        </w:rPr>
      </w:r>
    </w:p>
    <w:tbl>
      <w:tblPr>
        <w:tblStyle w:val="771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jc w:val="both"/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доступ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 вас есть право запросить копию персональных данных, которые есть у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jc w:val="both"/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уточнение 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Вы можете попросить Оператора исправить неточные или неполные персональные данные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блокирование и удаление персональных данных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Вы можете запросить удаление данных, которые есть у Оператора относительно вас, за исключением случаев, когда Оператор обязан хранить эти данные по закону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обжалование действий/бездействия Оператора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Если вы считаете, что Оператор обрабатывает ваши персональные данные с нарушением требований законодательства или иным образом нарушает ваши права, вы вправе обжаловать действия/бездействие Оператора в Роскомнадзоре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обжалование решений, принятых на основании исключительно автоматизированной обработки персональных данных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 вас есть право возражать против решений, принятых исключительно на основе автоматизированной обработки ваших персональных данных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jc w:val="both"/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Право на отзыв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5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В любой момент вы можете отозвать свое согласие на обработку данных</w:t>
            </w:r>
            <w:r>
              <w:rPr>
                <w:rFonts w:ascii="PT Serif" w:hAnsi="PT Serif" w:eastAsia="Century Gothic" w:cs="Century Gothic"/>
              </w:rPr>
            </w:r>
          </w:p>
        </w:tc>
      </w:tr>
    </w:tbl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Вы можете обратиться к Оператору, если захотите уточнить порядок реализации иных прав, предусмотренных Федеральным законом «О персональных данных».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Как Оператор обрабатывает персональные данные?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обрабатывает персональные данные как в цифровой форме (автоматизировано), так и вручную (без использования средств автоматизации). При этом Оператор ограничивается следующими действиями: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сбор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запись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систематизация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накопление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хранение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уточнение (обновление, изменение)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извлечение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использование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передача (предоставление, доступ)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блокирование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удаление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4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уничтожение персональных данных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В каких целях Оператор обрабатывает ваши персональные данные?</w:t>
      </w:r>
      <w:r>
        <w:rPr>
          <w:rFonts w:ascii="PT Serif" w:hAnsi="PT Serif" w:eastAsia="Century Gothic" w:cs="Century Gothic"/>
          <w:b/>
          <w:bCs/>
        </w:rPr>
      </w:r>
    </w:p>
    <w:tbl>
      <w:tblPr>
        <w:tblStyle w:val="772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872"/>
        <w:gridCol w:w="1426"/>
        <w:gridCol w:w="2102"/>
        <w:gridCol w:w="1779"/>
      </w:tblGrid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Цель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Персональные данные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Категория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Срок обработки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b/>
                <w:bCs/>
              </w:rPr>
            </w:pPr>
            <w:r>
              <w:rPr>
                <w:rFonts w:ascii="PT Serif" w:hAnsi="PT Serif" w:eastAsia="Century Gothic" w:cs="Century Gothic"/>
                <w:b/>
                <w:bCs/>
              </w:rPr>
              <w:t xml:space="preserve">Порядок уничтожения</w:t>
            </w:r>
            <w:r>
              <w:rPr>
                <w:rFonts w:ascii="PT Serif" w:hAnsi="PT Serif" w:eastAsia="Century Gothic" w:cs="Century Gothic"/>
                <w:b/>
                <w:bCs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Обеспечение работы сайта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IP-адрес, данные о местоположении, </w:t>
            </w:r>
            <w:r>
              <w:rPr>
                <w:rFonts w:ascii="PT Serif" w:hAnsi="PT Serif" w:eastAsia="Century Gothic" w:cs="Century Gothic"/>
              </w:rPr>
              <w:t xml:space="preserve">cookie</w:t>
            </w:r>
            <w:r>
              <w:rPr>
                <w:rFonts w:ascii="PT Serif" w:hAnsi="PT Serif" w:eastAsia="Century Gothic" w:cs="Century Gothic"/>
              </w:rPr>
              <w:t xml:space="preserve">-файлы</w:t>
            </w:r>
            <w:r>
              <w:rPr>
                <w:rFonts w:ascii="PT Serif" w:hAnsi="PT Serif" w:eastAsia="Century Gothic" w:cs="Century Gothic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 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Обработка заявки на получение услуг и период оказания услуг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ФИО, </w:t>
            </w:r>
            <w:r>
              <w:rPr>
                <w:rFonts w:ascii="PT Serif" w:hAnsi="PT Serif" w:eastAsia="Century Gothic" w:cs="Century Gothic"/>
              </w:rPr>
              <w:t xml:space="preserve">e-mail</w:t>
            </w:r>
            <w:r>
              <w:rPr>
                <w:rFonts w:ascii="PT Serif" w:hAnsi="PT Serif" w:eastAsia="Century Gothic" w:cs="Century Gothic"/>
              </w:rPr>
              <w:t xml:space="preserve">, номер мобильного телефона,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ID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WhatsApp</w:t>
            </w:r>
            <w:r>
              <w:rPr>
                <w:rFonts w:ascii="PT Serif" w:hAnsi="PT Serif" w:eastAsia="Century Gothic" w:cs="Century Gothic"/>
              </w:rPr>
              <w:t xml:space="preserve">,</w:t>
            </w:r>
            <w:r>
              <w:rPr>
                <w:rFonts w:ascii="PT Serif" w:hAnsi="PT Serif" w:eastAsia="Century Gothic" w:cs="Century Gothic"/>
              </w:rPr>
              <w:t xml:space="preserve"> реквизиты счета</w:t>
            </w:r>
            <w:r>
              <w:rPr>
                <w:rFonts w:ascii="PT Serif" w:hAnsi="PT Serif" w:eastAsia="Century Gothic" w:cs="Century Gothic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 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Подготовка, заключение и исполнение договора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ФИО, </w:t>
            </w:r>
            <w:r>
              <w:rPr>
                <w:rFonts w:ascii="PT Serif" w:hAnsi="PT Serif" w:eastAsia="Century Gothic" w:cs="Century Gothic"/>
              </w:rPr>
              <w:t xml:space="preserve">e-mail</w:t>
            </w:r>
            <w:r>
              <w:rPr>
                <w:rFonts w:ascii="PT Serif" w:hAnsi="PT Serif" w:eastAsia="Century Gothic" w:cs="Century Gothic"/>
              </w:rPr>
              <w:t xml:space="preserve">, номер мобильного телефона,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ID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WhatsApp</w:t>
            </w:r>
            <w:r>
              <w:rPr>
                <w:rFonts w:ascii="PT Serif" w:hAnsi="PT Serif" w:eastAsia="Century Gothic" w:cs="Century Gothic"/>
              </w:rPr>
              <w:t xml:space="preserve">,</w:t>
            </w:r>
            <w:r>
              <w:rPr>
                <w:rFonts w:ascii="PT Serif" w:hAnsi="PT Serif" w:eastAsia="Century Gothic" w:cs="Century Gothic"/>
              </w:rPr>
              <w:t xml:space="preserve"> реквизиты счета, паспортные данные</w:t>
            </w:r>
            <w:r>
              <w:rPr>
                <w:rFonts w:ascii="PT Serif" w:hAnsi="PT Serif" w:eastAsia="Century Gothic" w:cs="Century Gothic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Проведение рекламной и информационной рассылки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ФИО, </w:t>
            </w:r>
            <w:r>
              <w:rPr>
                <w:rFonts w:ascii="PT Serif" w:hAnsi="PT Serif" w:eastAsia="Century Gothic" w:cs="Century Gothic"/>
              </w:rPr>
              <w:t xml:space="preserve">e-mail</w:t>
            </w:r>
            <w:r>
              <w:rPr>
                <w:rFonts w:ascii="PT Serif" w:hAnsi="PT Serif" w:eastAsia="Century Gothic" w:cs="Century Gothic"/>
              </w:rPr>
              <w:t xml:space="preserve">, номер мобильного телефона,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ID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WhatsApp</w:t>
            </w:r>
            <w:r>
              <w:rPr>
                <w:rFonts w:ascii="PT Serif" w:hAnsi="PT Serif" w:eastAsia="Century Gothic" w:cs="Century Gothic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 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Публикация отзывов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  <w:lang w:val="en-US"/>
              </w:rPr>
            </w:pPr>
            <w:r>
              <w:rPr>
                <w:rFonts w:ascii="PT Serif" w:hAnsi="PT Serif" w:eastAsia="Century Gothic" w:cs="Century Gothic"/>
              </w:rPr>
              <w:t xml:space="preserve">ФИО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, e-mail,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ID WhatsApp</w:t>
            </w:r>
            <w:r>
              <w:rPr>
                <w:rFonts w:ascii="PT Serif" w:hAnsi="PT Serif" w:eastAsia="Century Gothic" w:cs="Century Gothic"/>
                <w:lang w:val="en-US"/>
              </w:rPr>
            </w:r>
          </w:p>
          <w:p>
            <w:pPr>
              <w:spacing w:after="80" w:line="276" w:lineRule="auto"/>
              <w:rPr>
                <w:rFonts w:ascii="PT Serif" w:hAnsi="PT Serif" w:eastAsia="Century Gothic" w:cs="Century Gothic"/>
                <w:lang w:val="en-US"/>
              </w:rPr>
            </w:pPr>
            <w:r>
              <w:rPr>
                <w:rFonts w:ascii="PT Serif" w:hAnsi="PT Serif" w:eastAsia="Century Gothic" w:cs="Century Gothic"/>
                <w:lang w:val="en-US"/>
              </w:rPr>
            </w:r>
            <w:r>
              <w:rPr>
                <w:rFonts w:ascii="PT Serif" w:hAnsi="PT Serif" w:eastAsia="Century Gothic" w:cs="Century Gothic"/>
                <w:lang w:val="en-US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  <w:tr>
        <w:tblPrEx/>
        <w:trPr/>
        <w:tc>
          <w:tcPr>
            <w:tcW w:w="1837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Демонстрация результатов услуг 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ФИО, </w:t>
            </w:r>
            <w:r>
              <w:rPr>
                <w:rFonts w:ascii="PT Serif" w:hAnsi="PT Serif" w:eastAsia="Century Gothic" w:cs="Century Gothic"/>
              </w:rPr>
              <w:t xml:space="preserve">e-mail</w:t>
            </w:r>
            <w:r>
              <w:rPr>
                <w:rFonts w:ascii="PT Serif" w:hAnsi="PT Serif" w:eastAsia="Century Gothic" w:cs="Century Gothic"/>
              </w:rPr>
              <w:t xml:space="preserve">,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ID</w:t>
            </w:r>
            <w:r>
              <w:rPr>
                <w:rFonts w:ascii="PT Serif" w:hAnsi="PT Serif" w:eastAsia="Century Gothic" w:cs="Century Gothic"/>
              </w:rPr>
              <w:t xml:space="preserve"> </w:t>
            </w:r>
            <w:r>
              <w:rPr>
                <w:rFonts w:ascii="PT Serif" w:hAnsi="PT Serif" w:eastAsia="Century Gothic" w:cs="Century Gothic"/>
                <w:lang w:val="en-US"/>
              </w:rPr>
              <w:t xml:space="preserve">WhatsApp</w:t>
            </w:r>
            <w:r>
              <w:rPr>
                <w:rFonts w:ascii="PT Serif" w:hAnsi="PT Serif" w:eastAsia="Century Gothic" w:cs="Century Gothic"/>
              </w:rPr>
              <w:t xml:space="preserve">, </w:t>
            </w:r>
            <w:r>
              <w:rPr>
                <w:rFonts w:ascii="PT Serif" w:hAnsi="PT Serif" w:eastAsia="Century Gothic" w:cs="Century Gothic"/>
              </w:rPr>
              <w:t xml:space="preserve">фото- и видеоизображения, аудиозапись голоса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общие/биометрические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до достижения цели или отзыва согласия на обработку</w:t>
            </w:r>
            <w:r>
              <w:rPr>
                <w:rFonts w:ascii="PT Serif" w:hAnsi="PT Serif" w:eastAsia="Century Gothic" w:cs="Century Gothic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spacing w:after="80" w:line="276" w:lineRule="auto"/>
              <w:rPr>
                <w:rFonts w:ascii="PT Serif" w:hAnsi="PT Serif" w:eastAsia="Century Gothic" w:cs="Century Gothic"/>
              </w:rPr>
            </w:pPr>
            <w:r>
              <w:rPr>
                <w:rFonts w:ascii="PT Serif" w:hAnsi="PT Serif" w:eastAsia="Century Gothic" w:cs="Century Gothic"/>
              </w:rPr>
              <w:t xml:space="preserve">удаление из базы Оператора</w:t>
            </w:r>
            <w:r>
              <w:rPr>
                <w:rFonts w:ascii="PT Serif" w:hAnsi="PT Serif" w:eastAsia="Century Gothic" w:cs="Century Gothic"/>
              </w:rPr>
            </w:r>
          </w:p>
        </w:tc>
      </w:tr>
    </w:tbl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Что такое </w:t>
      </w:r>
      <w:r>
        <w:rPr>
          <w:rFonts w:ascii="PT Serif" w:hAnsi="PT Serif" w:eastAsia="Century Gothic" w:cs="Century Gothic"/>
          <w:b/>
          <w:bCs/>
        </w:rPr>
        <w:t xml:space="preserve">cookie</w:t>
      </w:r>
      <w:r>
        <w:rPr>
          <w:rFonts w:ascii="PT Serif" w:hAnsi="PT Serif" w:eastAsia="Century Gothic" w:cs="Century Gothic"/>
          <w:b/>
          <w:bCs/>
        </w:rPr>
        <w:t xml:space="preserve">-файлы? 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Файлы </w:t>
      </w:r>
      <w:r>
        <w:rPr>
          <w:rFonts w:ascii="PT Serif" w:hAnsi="PT Serif" w:eastAsia="Century Gothic" w:cs="Century Gothic"/>
        </w:rPr>
        <w:t xml:space="preserve">cookie</w:t>
      </w:r>
      <w:r>
        <w:rPr>
          <w:rFonts w:ascii="PT Serif" w:hAnsi="PT Serif" w:eastAsia="Century Gothic" w:cs="Century Gothic"/>
        </w:rPr>
        <w:t xml:space="preserve"> – э</w:t>
      </w:r>
      <w:r>
        <w:rPr>
          <w:rFonts w:ascii="PT Serif" w:hAnsi="PT Serif" w:eastAsia="Century Gothic" w:cs="Century Gothic"/>
        </w:rPr>
        <w:t xml:space="preserve">то небольшие текстовые файлы, содержащие буквы и цифры, которые загружаются на устройство пользователя при посещении определенных веб-сайтов. Они позволяют сайтам идентифицировать устройство пользователя и обеспечивать корректное функционирование сервисов.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Для обеспечения корректной работы сайта и предоставления персонализированного опыта взаимодействия, Оператор использует </w:t>
      </w:r>
      <w:r>
        <w:rPr>
          <w:rFonts w:ascii="PT Serif" w:hAnsi="PT Serif" w:eastAsia="Century Gothic" w:cs="Century Gothic"/>
        </w:rPr>
        <w:t xml:space="preserve">cookie</w:t>
      </w:r>
      <w:r>
        <w:rPr>
          <w:rFonts w:ascii="PT Serif" w:hAnsi="PT Serif" w:eastAsia="Century Gothic" w:cs="Century Gothic"/>
        </w:rPr>
        <w:t xml:space="preserve">-файлы. Эти файлы позволяют распознавать пользователя при повторных посещениях, сохранять его предпочтения и адаптировать предоставляемые услуги в соответствии с индивидуальными запросами.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Информация, хранящаяся в таких </w:t>
      </w:r>
      <w:r>
        <w:rPr>
          <w:rFonts w:ascii="PT Serif" w:hAnsi="PT Serif" w:eastAsia="Century Gothic" w:cs="Century Gothic"/>
        </w:rPr>
        <w:t xml:space="preserve">cookie</w:t>
      </w:r>
      <w:r>
        <w:rPr>
          <w:rFonts w:ascii="PT Serif" w:hAnsi="PT Serif" w:eastAsia="Century Gothic" w:cs="Century Gothic"/>
        </w:rPr>
        <w:t xml:space="preserve">-файлах, передается и сохраняется на вышеуказанных метрических сервисах. Посещая </w:t>
      </w:r>
      <w:r>
        <w:rPr>
          <w:rFonts w:ascii="PT Serif" w:hAnsi="PT Serif" w:eastAsia="Century Gothic" w:cs="Century Gothic"/>
        </w:rPr>
        <w:t xml:space="preserve">с</w:t>
      </w:r>
      <w:r>
        <w:rPr>
          <w:rFonts w:ascii="PT Serif" w:hAnsi="PT Serif" w:eastAsia="Century Gothic" w:cs="Century Gothic"/>
        </w:rPr>
        <w:t xml:space="preserve">айт, вы даете согласие Оператору на обработку и передачу данных метрическим сервисам. 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Вы вправе заблокировать метрические сервисы. Однако, при блокировке метрических сервисов некоторые функции сайта могут стать недоступны.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Передает ли Оператор ваши персональные данные третьим лицам?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использует услуги третьих лиц, которые помогают предоставлять определенные решения для качественного оказания услуг Оператором. С этой целью личные данные пользователя могут быть переданы следующим получателям: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3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поставщики платежных услуг, которые могут получать</w:t>
      </w:r>
      <w:r>
        <w:rPr>
          <w:rFonts w:ascii="PT Serif" w:hAnsi="PT Serif" w:eastAsia="Century Gothic" w:cs="Century Gothic"/>
        </w:rPr>
        <w:t xml:space="preserve"> их</w:t>
      </w:r>
      <w:r>
        <w:rPr>
          <w:rFonts w:ascii="PT Serif" w:hAnsi="PT Serif" w:eastAsia="Century Gothic" w:cs="Century Gothic"/>
        </w:rPr>
        <w:t xml:space="preserve"> (в зависимости от способа и потока платежей, например, номер телефона, </w:t>
      </w:r>
      <w:r>
        <w:rPr>
          <w:rFonts w:ascii="PT Serif" w:hAnsi="PT Serif" w:eastAsia="Century Gothic" w:cs="Century Gothic"/>
        </w:rPr>
        <w:t xml:space="preserve">e-mail</w:t>
      </w:r>
      <w:r>
        <w:rPr>
          <w:rFonts w:ascii="PT Serif" w:hAnsi="PT Serif" w:eastAsia="Century Gothic" w:cs="Century Gothic"/>
        </w:rPr>
        <w:t xml:space="preserve">, адрес, имя держателя карты, срок действия карты и пр.) для обработки платежей. Оператор не собирает и не хранит платежную информацию. Информация исключительно и напрямую передается соответствующему обработчику платежей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3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3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лицам, обеспечивающим доступ пользователей к Ресурсам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Любая иная персональная информация, не оговоренная выше (история посещения, используемые браузеры, операционные системы и т.д.) подлежит надежному хранению и нераспространению.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Как Оператор обеспечивает безопасность персональных данных?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защищает персональные данные, которые у него хранятся, от разглашения, полной или частичной утраты, а также несанкционированного доступа со стороны третьих лиц.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Для этого Оператор использует все необходимые технические и организационные меры по обеспечению безопасности и конфиденциальности, и постоянно обновляет их с учетом последних технических разработок.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Если происходит утечка персональных данных, то Оператор: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3"/>
        </w:numPr>
        <w:ind w:left="426" w:hanging="426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в течение 24 часов уведомляет об этом Роскомнадзор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3"/>
        </w:numPr>
        <w:ind w:left="426" w:hanging="426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в течение 72 часов проводит собственное расследование и уведомляет Роскомнадзор о его результатах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Что Оператор не проверяет?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не может проверить и поэтому доверяет Вам в том, что вы: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обладаете полной дееспособностью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1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предоставили собственные достоверные персональные данные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Как связаться с Оператором?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По любым вопросам в отношении обработки персональных данных вы можете обратиться к Оператору по </w:t>
      </w:r>
      <w:r>
        <w:rPr>
          <w:rFonts w:ascii="PT Serif" w:hAnsi="PT Serif" w:eastAsia="Century Gothic" w:cs="Century Gothic"/>
        </w:rPr>
        <w:t xml:space="preserve">e-mail</w:t>
      </w:r>
      <w:r>
        <w:rPr>
          <w:rFonts w:ascii="PT Serif" w:hAnsi="PT Serif" w:eastAsia="Century Gothic" w:cs="Century Gothic"/>
        </w:rPr>
        <w:t xml:space="preserve"> </w:t>
      </w:r>
      <w:hyperlink r:id="rId15" w:tooltip="mailto:info@mpara.ru" w:history="1">
        <w:r>
          <w:rPr>
            <w:rStyle w:val="749"/>
            <w:rFonts w:ascii="PT Serif" w:hAnsi="PT Serif"/>
            <w:lang w:val="en-US"/>
          </w:rPr>
          <w:t xml:space="preserve">info</w:t>
        </w:r>
        <w:r>
          <w:rPr>
            <w:rStyle w:val="749"/>
            <w:rFonts w:ascii="PT Serif" w:hAnsi="PT Serif"/>
          </w:rPr>
          <w:t xml:space="preserve">@</w:t>
        </w:r>
        <w:r>
          <w:rPr>
            <w:rStyle w:val="749"/>
            <w:rFonts w:ascii="PT Serif" w:hAnsi="PT Serif"/>
            <w:lang w:val="en-US"/>
          </w:rPr>
          <w:t xml:space="preserve">mpara</w:t>
        </w:r>
        <w:r>
          <w:rPr>
            <w:rStyle w:val="749"/>
            <w:rFonts w:ascii="PT Serif" w:hAnsi="PT Serif"/>
          </w:rPr>
          <w:t xml:space="preserve">.</w:t>
        </w:r>
        <w:r>
          <w:rPr>
            <w:rStyle w:val="749"/>
            <w:rFonts w:ascii="PT Serif" w:hAnsi="PT Serif"/>
            <w:lang w:val="en-US"/>
          </w:rPr>
          <w:t xml:space="preserve">ru</w:t>
        </w:r>
      </w:hyperlink>
      <w:r>
        <w:rPr>
          <w:rFonts w:ascii="PT Serif" w:hAnsi="PT Serif"/>
        </w:rPr>
        <w:t xml:space="preserve">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При обращении укажите свое имя и контакты для обратной связи.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ответит на ваше обращение не позднее 10 рабочих дней с момента его получения.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  <w:b/>
          <w:bCs/>
        </w:rPr>
      </w:pPr>
      <w:r>
        <w:rPr>
          <w:rFonts w:ascii="PT Serif" w:hAnsi="PT Serif" w:eastAsia="Century Gothic" w:cs="Century Gothic"/>
          <w:b/>
          <w:bCs/>
        </w:rPr>
        <w:t xml:space="preserve">Изменение Политики</w:t>
      </w:r>
      <w:r>
        <w:rPr>
          <w:rFonts w:ascii="PT Serif" w:hAnsi="PT Serif" w:eastAsia="Century Gothic" w:cs="Century Gothic"/>
          <w:b/>
          <w:bCs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может обновить условия Политики на основании следующего: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2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Изменения в законодательстве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2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Введение новых технологий или методов обработки персональных данных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2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Изменения в структуре или бизнес-процессах Оператора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2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Внедрение новых продуктов или услуг, которые требуют обновления подходов к обработке персональных данных</w:t>
      </w:r>
      <w:r>
        <w:rPr>
          <w:rFonts w:ascii="PT Serif" w:hAnsi="PT Serif" w:eastAsia="Century Gothic" w:cs="Century Gothic"/>
        </w:rPr>
      </w:r>
    </w:p>
    <w:p>
      <w:pPr>
        <w:numPr>
          <w:ilvl w:val="0"/>
          <w:numId w:val="2"/>
        </w:numPr>
        <w:ind w:left="357" w:hanging="357"/>
        <w:spacing w:after="80" w:line="276" w:lineRule="auto"/>
        <w:rPr>
          <w:rFonts w:ascii="PT Serif" w:hAnsi="PT Serif" w:eastAsia="Century Gothic" w:cs="Century Gothi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Century Gothic" w:cs="Century Gothic"/>
        </w:rPr>
        <w:t xml:space="preserve">Обратная связь от пользователей или изменения в политике конфиденциальности партнеров Оператора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  <w:t xml:space="preserve">Оператор будет направлять уведомления об изменениях Политики в случае, если такие изменения являются существенными, доступными способами. </w:t>
      </w:r>
      <w:r>
        <w:rPr>
          <w:rFonts w:ascii="PT Serif" w:hAnsi="PT Serif" w:eastAsia="Century Gothic" w:cs="Century Gothic"/>
        </w:rPr>
      </w:r>
    </w:p>
    <w:p>
      <w:pPr>
        <w:spacing w:after="80" w:line="276" w:lineRule="auto"/>
        <w:rPr>
          <w:rFonts w:ascii="PT Serif" w:hAnsi="PT Serif" w:eastAsia="Century Gothic" w:cs="Century Gothic"/>
        </w:rPr>
      </w:pPr>
      <w:r>
        <w:rPr>
          <w:rFonts w:ascii="PT Serif" w:hAnsi="PT Serif" w:eastAsia="Century Gothic" w:cs="Century Gothic"/>
        </w:rPr>
      </w:r>
      <w:r>
        <w:rPr>
          <w:rFonts w:ascii="PT Serif" w:hAnsi="PT Serif" w:eastAsia="Century Gothic" w:cs="Century Gothic"/>
        </w:rPr>
      </w:r>
    </w:p>
    <w:p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 xml:space="preserve">Реквизиты:</w:t>
      </w:r>
      <w:r>
        <w:rPr>
          <w:rFonts w:ascii="PT Serif" w:hAnsi="PT Serif"/>
          <w:b/>
          <w:bCs/>
        </w:rPr>
      </w:r>
    </w:p>
    <w:p>
      <w:pPr>
        <w:rPr>
          <w:rFonts w:ascii="PT Serif" w:hAnsi="PT Serif"/>
        </w:rPr>
      </w:pPr>
      <w:r>
        <w:rPr>
          <w:rFonts w:ascii="PT Serif" w:hAnsi="PT Serif"/>
        </w:rPr>
        <w:t xml:space="preserve">Общество с ограниченной ответственностью </w:t>
      </w:r>
      <w:r>
        <w:rPr>
          <w:rFonts w:ascii="PT Serif" w:hAnsi="PT Serif"/>
        </w:rPr>
        <w:t xml:space="preserve">«</w:t>
      </w:r>
      <w:r>
        <w:rPr>
          <w:rFonts w:ascii="PT Serif" w:hAnsi="PT Serif"/>
        </w:rPr>
        <w:t xml:space="preserve">МАСТЕРСКАЯ ПАРА</w:t>
      </w:r>
      <w:r>
        <w:rPr>
          <w:rFonts w:ascii="PT Serif" w:hAnsi="PT Serif"/>
        </w:rPr>
        <w:t xml:space="preserve">»</w:t>
      </w:r>
      <w:r>
        <w:rPr>
          <w:rFonts w:ascii="PT Serif" w:hAnsi="PT Serif"/>
        </w:rPr>
      </w:r>
    </w:p>
    <w:p>
      <w:pPr>
        <w:pStyle w:val="774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Юридический адрес: </w:t>
      </w:r>
      <w:r>
        <w:rPr>
          <w:rFonts w:ascii="PT Serif" w:hAnsi="PT Serif" w:cs="Times New Roman"/>
          <w:sz w:val="24"/>
          <w:szCs w:val="24"/>
        </w:rPr>
        <w:t xml:space="preserve">197136, г.</w:t>
      </w:r>
      <w:r>
        <w:rPr>
          <w:rFonts w:ascii="PT Serif" w:hAnsi="PT Serif" w:cs="Times New Roman"/>
          <w:sz w:val="24"/>
          <w:szCs w:val="24"/>
        </w:rPr>
        <w:t xml:space="preserve"> </w:t>
      </w:r>
      <w:r>
        <w:rPr>
          <w:rFonts w:ascii="PT Serif" w:hAnsi="PT Serif" w:cs="Times New Roman"/>
          <w:sz w:val="24"/>
          <w:szCs w:val="24"/>
        </w:rPr>
        <w:t xml:space="preserve">Санкт-Петербург, Муниципальный округ Аптекарский</w:t>
      </w:r>
      <w:r>
        <w:rPr>
          <w:rFonts w:ascii="PT Serif" w:hAnsi="PT Serif" w:cs="Times New Roman"/>
          <w:sz w:val="24"/>
          <w:szCs w:val="24"/>
        </w:rPr>
        <w:t xml:space="preserve"> </w:t>
      </w:r>
      <w:r>
        <w:rPr>
          <w:rFonts w:ascii="PT Serif" w:hAnsi="PT Serif" w:cs="Times New Roman"/>
          <w:sz w:val="24"/>
          <w:szCs w:val="24"/>
        </w:rPr>
        <w:t xml:space="preserve">остров, проспект Большой П.С., д.84, литера А, </w:t>
      </w:r>
      <w:r>
        <w:rPr>
          <w:rFonts w:ascii="PT Serif" w:hAnsi="PT Serif" w:cs="Times New Roman"/>
          <w:sz w:val="24"/>
          <w:szCs w:val="24"/>
        </w:rPr>
        <w:t xml:space="preserve">помещ</w:t>
      </w:r>
      <w:r>
        <w:rPr>
          <w:rFonts w:ascii="PT Serif" w:hAnsi="PT Serif" w:cs="Times New Roman"/>
          <w:sz w:val="24"/>
          <w:szCs w:val="24"/>
        </w:rPr>
        <w:t xml:space="preserve">. 16 - Н</w:t>
      </w:r>
      <w:r>
        <w:rPr>
          <w:rFonts w:ascii="PT Serif" w:hAnsi="PT Serif" w:cs="Times New Roman"/>
          <w:sz w:val="24"/>
          <w:szCs w:val="24"/>
        </w:rPr>
      </w:r>
    </w:p>
    <w:p>
      <w:pPr>
        <w:rPr>
          <w:rFonts w:ascii="PT Serif" w:hAnsi="PT Serif"/>
        </w:rPr>
      </w:pPr>
      <w:r>
        <w:rPr>
          <w:rFonts w:ascii="PT Serif" w:hAnsi="PT Serif"/>
        </w:rPr>
        <w:t xml:space="preserve">ИНН 7813667202</w:t>
      </w:r>
      <w:r>
        <w:rPr>
          <w:rFonts w:ascii="PT Serif" w:hAnsi="PT Serif"/>
        </w:rPr>
      </w:r>
    </w:p>
    <w:p>
      <w:pPr>
        <w:rPr>
          <w:rFonts w:ascii="PT Serif" w:hAnsi="PT Serif"/>
        </w:rPr>
      </w:pPr>
      <w:r>
        <w:rPr>
          <w:rFonts w:ascii="PT Serif" w:hAnsi="PT Serif"/>
        </w:rPr>
        <w:t xml:space="preserve">КПП 781301001</w:t>
      </w:r>
      <w:r>
        <w:rPr>
          <w:rFonts w:ascii="PT Serif" w:hAnsi="PT Serif"/>
        </w:rPr>
      </w:r>
    </w:p>
    <w:p>
      <w:pPr>
        <w:rPr>
          <w:rFonts w:ascii="PT Serif" w:hAnsi="PT Serif"/>
        </w:rPr>
      </w:pPr>
      <w:r>
        <w:rPr>
          <w:rFonts w:ascii="PT Serif" w:hAnsi="PT Serif"/>
        </w:rPr>
        <w:t xml:space="preserve">ОГРН 1227800123121</w:t>
      </w:r>
      <w:r>
        <w:rPr>
          <w:rFonts w:ascii="PT Serif" w:hAnsi="PT Serif"/>
        </w:rPr>
      </w:r>
    </w:p>
    <w:p>
      <w:pPr>
        <w:rPr>
          <w:rFonts w:ascii="PT Serif" w:hAnsi="PT Serif" w:eastAsia="Times New Roman" w:cs="Times New Roman"/>
          <w:color w:val="000000"/>
          <w:lang w:eastAsia="ru-RU"/>
        </w:rPr>
      </w:pPr>
      <w:r>
        <w:rPr>
          <w:rFonts w:ascii="PT Serif" w:hAnsi="PT Serif" w:eastAsia="Times New Roman" w:cs="Times New Roman"/>
          <w:color w:val="000000"/>
          <w:lang w:eastAsia="ru-RU"/>
        </w:rPr>
        <w:t xml:space="preserve">Расчетный счет: 40702810600000034561</w:t>
      </w:r>
      <w:r>
        <w:rPr>
          <w:rFonts w:ascii="PT Serif" w:hAnsi="PT Serif" w:eastAsia="Times New Roman" w:cs="Times New Roman"/>
          <w:color w:val="000000"/>
          <w:lang w:eastAsia="ru-RU"/>
        </w:rPr>
      </w:r>
    </w:p>
    <w:p>
      <w:pPr>
        <w:rPr>
          <w:rFonts w:ascii="PT Serif" w:hAnsi="PT Serif" w:eastAsia="Times New Roman" w:cs="Times New Roman"/>
          <w:color w:val="000000"/>
          <w:lang w:eastAsia="ru-RU"/>
        </w:rPr>
      </w:pPr>
      <w:r>
        <w:rPr>
          <w:rFonts w:ascii="PT Serif" w:hAnsi="PT Serif" w:eastAsia="Times New Roman" w:cs="Times New Roman"/>
          <w:color w:val="000000"/>
          <w:lang w:eastAsia="ru-RU"/>
        </w:rPr>
        <w:t xml:space="preserve">Банк: АО БАНК "ПСКБ"</w:t>
      </w:r>
      <w:r>
        <w:rPr>
          <w:rFonts w:ascii="PT Serif" w:hAnsi="PT Serif" w:eastAsia="Times New Roman" w:cs="Times New Roman"/>
          <w:color w:val="000000"/>
          <w:lang w:eastAsia="ru-RU"/>
        </w:rPr>
      </w:r>
    </w:p>
    <w:p>
      <w:pPr>
        <w:rPr>
          <w:rFonts w:ascii="PT Serif" w:hAnsi="PT Serif" w:eastAsia="Times New Roman" w:cs="Times New Roman"/>
          <w:color w:val="000000"/>
          <w:lang w:eastAsia="ru-RU"/>
        </w:rPr>
      </w:pPr>
      <w:r>
        <w:rPr>
          <w:rFonts w:ascii="PT Serif" w:hAnsi="PT Serif" w:eastAsia="Times New Roman" w:cs="Times New Roman"/>
          <w:color w:val="000000"/>
          <w:lang w:eastAsia="ru-RU"/>
        </w:rPr>
        <w:t xml:space="preserve">БИК: 044030852</w:t>
      </w:r>
      <w:r>
        <w:rPr>
          <w:rFonts w:ascii="PT Serif" w:hAnsi="PT Serif" w:eastAsia="Times New Roman" w:cs="Times New Roman"/>
          <w:color w:val="000000"/>
          <w:lang w:eastAsia="ru-RU"/>
        </w:rPr>
      </w:r>
    </w:p>
    <w:p>
      <w:pPr>
        <w:rPr>
          <w:rFonts w:ascii="PT Serif" w:hAnsi="PT Serif" w:eastAsia="Times New Roman" w:cs="Times New Roman"/>
          <w:color w:val="000000"/>
          <w:lang w:eastAsia="ru-RU"/>
        </w:rPr>
      </w:pPr>
      <w:r>
        <w:rPr>
          <w:rFonts w:ascii="PT Serif" w:hAnsi="PT Serif" w:eastAsia="Times New Roman" w:cs="Times New Roman"/>
          <w:color w:val="000000"/>
          <w:lang w:eastAsia="ru-RU"/>
        </w:rPr>
        <w:t xml:space="preserve">Корр. счет: 30101810000000000852</w:t>
      </w:r>
      <w:r>
        <w:rPr>
          <w:rFonts w:ascii="PT Serif" w:hAnsi="PT Serif" w:eastAsia="Times New Roman" w:cs="Times New Roman"/>
          <w:color w:val="000000"/>
          <w:lang w:eastAsia="ru-RU"/>
        </w:rPr>
      </w:r>
    </w:p>
    <w:p>
      <w:pPr>
        <w:spacing w:after="80" w:line="276" w:lineRule="auto"/>
        <w:rPr>
          <w:rFonts w:ascii="PT Serif" w:hAnsi="PT Serif"/>
        </w:rPr>
      </w:pPr>
      <w:r>
        <w:rPr>
          <w:rFonts w:ascii="PT Serif" w:hAnsi="PT Serif"/>
          <w:lang w:val="en-US"/>
        </w:rPr>
        <w:t xml:space="preserve">e</w:t>
      </w:r>
      <w:r>
        <w:rPr>
          <w:rFonts w:ascii="PT Serif" w:hAnsi="PT Serif"/>
        </w:rPr>
        <w:t xml:space="preserve">-</w:t>
      </w:r>
      <w:r>
        <w:rPr>
          <w:rFonts w:ascii="PT Serif" w:hAnsi="PT Serif"/>
          <w:lang w:val="en-US"/>
        </w:rPr>
        <w:t xml:space="preserve">mail</w:t>
      </w:r>
      <w:r>
        <w:rPr>
          <w:rFonts w:ascii="PT Serif" w:hAnsi="PT Serif"/>
        </w:rPr>
        <w:t xml:space="preserve">: </w:t>
      </w:r>
      <w:hyperlink r:id="rId16" w:tooltip="mailto:info@mpara.ru" w:history="1">
        <w:r>
          <w:rPr>
            <w:rStyle w:val="749"/>
            <w:rFonts w:ascii="PT Serif" w:hAnsi="PT Serif"/>
            <w:lang w:val="en-US"/>
          </w:rPr>
          <w:t xml:space="preserve">info</w:t>
        </w:r>
        <w:r>
          <w:rPr>
            <w:rStyle w:val="749"/>
            <w:rFonts w:ascii="PT Serif" w:hAnsi="PT Serif"/>
          </w:rPr>
          <w:t xml:space="preserve">@</w:t>
        </w:r>
        <w:r>
          <w:rPr>
            <w:rStyle w:val="749"/>
            <w:rFonts w:ascii="PT Serif" w:hAnsi="PT Serif"/>
            <w:lang w:val="en-US"/>
          </w:rPr>
          <w:t xml:space="preserve">mpara</w:t>
        </w:r>
        <w:r>
          <w:rPr>
            <w:rStyle w:val="749"/>
            <w:rFonts w:ascii="PT Serif" w:hAnsi="PT Serif"/>
          </w:rPr>
          <w:t xml:space="preserve">.</w:t>
        </w:r>
        <w:r>
          <w:rPr>
            <w:rStyle w:val="749"/>
            <w:rFonts w:ascii="PT Serif" w:hAnsi="PT Serif"/>
            <w:lang w:val="en-US"/>
          </w:rPr>
          <w:t xml:space="preserve">ru</w:t>
        </w:r>
      </w:hyperlink>
      <w:r/>
      <w:r>
        <w:rPr>
          <w:rFonts w:ascii="PT Serif" w:hAnsi="PT Serif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PT Sans">
    <w:panose1 w:val="020B0603020203020204"/>
  </w:font>
  <w:font w:name="PT Serif">
    <w:panose1 w:val="020B0604030504040204"/>
  </w:font>
  <w:font w:name="Courier New">
    <w:panose1 w:val="02070309020205020404"/>
  </w:font>
  <w:font w:name="Noto Sans Symbols">
    <w:panose1 w:val="020B060403050404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0289442"/>
      <w:docPartObj>
        <w:docPartGallery w:val="Page Numbers (Bottom of Page)"/>
        <w:docPartUnique w:val="true"/>
      </w:docPartObj>
      <w:rPr>
        <w:rFonts w:ascii="PT Serif" w:hAnsi="PT Serif"/>
        <w:sz w:val="20"/>
        <w:szCs w:val="20"/>
      </w:rPr>
    </w:sdtPr>
    <w:sdtContent>
      <w:p>
        <w:pPr>
          <w:pStyle w:val="755"/>
          <w:rPr>
            <w:rStyle w:val="754"/>
            <w:rFonts w:ascii="PT Serif" w:hAnsi="PT Serif"/>
            <w:sz w:val="20"/>
            <w:szCs w:val="20"/>
          </w:rPr>
          <w:framePr w:wrap="none" w:vAnchor="text" w:hAnchor="margin" w:xAlign="right" w:y="1"/>
        </w:pPr>
        <w:r>
          <w:rPr>
            <w:rStyle w:val="754"/>
            <w:rFonts w:ascii="PT Serif" w:hAnsi="PT Serif"/>
            <w:sz w:val="20"/>
            <w:szCs w:val="20"/>
          </w:rPr>
          <w:fldChar w:fldCharType="begin"/>
        </w:r>
        <w:r>
          <w:rPr>
            <w:rStyle w:val="754"/>
            <w:rFonts w:ascii="PT Serif" w:hAnsi="PT Serif"/>
            <w:sz w:val="20"/>
            <w:szCs w:val="20"/>
          </w:rPr>
          <w:instrText xml:space="preserve"> PAGE </w:instrText>
        </w:r>
        <w:r>
          <w:rPr>
            <w:rStyle w:val="754"/>
            <w:rFonts w:ascii="PT Serif" w:hAnsi="PT Serif"/>
            <w:sz w:val="20"/>
            <w:szCs w:val="20"/>
          </w:rPr>
          <w:fldChar w:fldCharType="separate"/>
        </w:r>
        <w:r>
          <w:rPr>
            <w:rStyle w:val="754"/>
            <w:rFonts w:ascii="PT Serif" w:hAnsi="PT Serif"/>
            <w:sz w:val="20"/>
            <w:szCs w:val="20"/>
          </w:rPr>
          <w:t xml:space="preserve">2</w:t>
        </w:r>
        <w:r>
          <w:rPr>
            <w:rStyle w:val="754"/>
            <w:rFonts w:ascii="PT Serif" w:hAnsi="PT Serif"/>
            <w:sz w:val="20"/>
            <w:szCs w:val="20"/>
          </w:rPr>
          <w:fldChar w:fldCharType="end"/>
        </w:r>
        <w:r>
          <w:rPr>
            <w:rStyle w:val="754"/>
            <w:rFonts w:ascii="PT Serif" w:hAnsi="PT Serif"/>
            <w:sz w:val="20"/>
            <w:szCs w:val="20"/>
          </w:rPr>
        </w:r>
      </w:p>
    </w:sdtContent>
  </w:sdt>
  <w:p>
    <w:pPr>
      <w:pStyle w:val="75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0903126"/>
      <w:docPartObj>
        <w:docPartGallery w:val="Page Numbers (Bottom of Page)"/>
        <w:docPartUnique w:val="true"/>
      </w:docPartObj>
      <w:rPr/>
    </w:sdtPr>
    <w:sdtContent>
      <w:p>
        <w:pPr>
          <w:pStyle w:val="755"/>
          <w:rPr>
            <w:rStyle w:val="754"/>
          </w:rPr>
          <w:framePr w:wrap="none" w:vAnchor="text" w:hAnchor="margin" w:xAlign="right" w:y="1"/>
        </w:pPr>
        <w:r>
          <w:rPr>
            <w:rStyle w:val="754"/>
          </w:rPr>
          <w:fldChar w:fldCharType="begin"/>
        </w:r>
        <w:r>
          <w:rPr>
            <w:rStyle w:val="754"/>
          </w:rPr>
          <w:instrText xml:space="preserve"> PAGE </w:instrText>
        </w:r>
        <w:r>
          <w:rPr>
            <w:rStyle w:val="754"/>
          </w:rPr>
          <w:fldChar w:fldCharType="end"/>
        </w:r>
        <w:r>
          <w:rPr>
            <w:rStyle w:val="754"/>
          </w:rPr>
        </w:r>
      </w:p>
    </w:sdtContent>
  </w:sdt>
  <w:p>
    <w:pPr>
      <w:pStyle w:val="75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rFonts w:ascii="PT Sans" w:hAnsi="PT Sans" w:eastAsia="Century Gothic" w:cs="Century Gothic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PT Sans" w:hAnsi="PT Sans" w:eastAsia="Century Gothic" w:cs="Century Gothic"/>
        <w:sz w:val="20"/>
        <w:szCs w:val="20"/>
      </w:rPr>
    </w:r>
    <w:r>
      <w:rPr>
        <w:rFonts w:ascii="PT Sans" w:hAnsi="PT Sans" w:eastAsia="Century Gothic" w:cs="Century Gothic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</w:r>
  </w:p>
  <w:p>
    <w:pPr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3"/>
    <w:link w:val="73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3"/>
    <w:link w:val="73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3"/>
    <w:link w:val="73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3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3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3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6"/>
    <w:next w:val="7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6"/>
    <w:next w:val="7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6"/>
    <w:next w:val="7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3"/>
    <w:link w:val="746"/>
    <w:uiPriority w:val="10"/>
    <w:rPr>
      <w:sz w:val="48"/>
      <w:szCs w:val="48"/>
    </w:rPr>
  </w:style>
  <w:style w:type="character" w:styleId="37">
    <w:name w:val="Subtitle Char"/>
    <w:basedOn w:val="743"/>
    <w:link w:val="757"/>
    <w:uiPriority w:val="11"/>
    <w:rPr>
      <w:sz w:val="24"/>
      <w:szCs w:val="24"/>
    </w:rPr>
  </w:style>
  <w:style w:type="paragraph" w:styleId="38">
    <w:name w:val="Quote"/>
    <w:basedOn w:val="736"/>
    <w:next w:val="7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6"/>
    <w:next w:val="7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3"/>
    <w:link w:val="752"/>
    <w:uiPriority w:val="99"/>
  </w:style>
  <w:style w:type="character" w:styleId="45">
    <w:name w:val="Footer Char"/>
    <w:basedOn w:val="743"/>
    <w:link w:val="755"/>
    <w:uiPriority w:val="99"/>
  </w:style>
  <w:style w:type="paragraph" w:styleId="46">
    <w:name w:val="Caption"/>
    <w:basedOn w:val="736"/>
    <w:next w:val="7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3"/>
    <w:uiPriority w:val="99"/>
    <w:unhideWhenUsed/>
    <w:rPr>
      <w:vertAlign w:val="superscript"/>
    </w:rPr>
  </w:style>
  <w:style w:type="paragraph" w:styleId="178">
    <w:name w:val="endnote text"/>
    <w:basedOn w:val="7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3"/>
    <w:uiPriority w:val="99"/>
    <w:semiHidden/>
    <w:unhideWhenUsed/>
    <w:rPr>
      <w:vertAlign w:val="superscript"/>
    </w:rPr>
  </w:style>
  <w:style w:type="paragraph" w:styleId="181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</w:style>
  <w:style w:type="paragraph" w:styleId="737">
    <w:name w:val="Heading 1"/>
    <w:basedOn w:val="736"/>
    <w:next w:val="73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38">
    <w:name w:val="Heading 2"/>
    <w:basedOn w:val="736"/>
    <w:next w:val="73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39">
    <w:name w:val="Heading 3"/>
    <w:basedOn w:val="736"/>
    <w:next w:val="73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40">
    <w:name w:val="Heading 4"/>
    <w:basedOn w:val="736"/>
    <w:next w:val="736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741">
    <w:name w:val="Heading 5"/>
    <w:basedOn w:val="736"/>
    <w:next w:val="736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42">
    <w:name w:val="Heading 6"/>
    <w:basedOn w:val="736"/>
    <w:next w:val="73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>
    <w:name w:val="Title"/>
    <w:basedOn w:val="736"/>
    <w:next w:val="73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47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Table Grid"/>
    <w:basedOn w:val="74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49">
    <w:name w:val="Hyperlink"/>
    <w:basedOn w:val="743"/>
    <w:uiPriority w:val="99"/>
    <w:unhideWhenUsed/>
    <w:rPr>
      <w:color w:val="0563c1" w:themeColor="hyperlink"/>
      <w:u w:val="single"/>
    </w:rPr>
  </w:style>
  <w:style w:type="character" w:styleId="750">
    <w:name w:val="Unresolved Mention"/>
    <w:basedOn w:val="743"/>
    <w:uiPriority w:val="99"/>
    <w:semiHidden/>
    <w:unhideWhenUsed/>
    <w:rPr>
      <w:color w:val="605e5c"/>
      <w:shd w:val="clear" w:color="auto" w:fill="e1dfdd"/>
    </w:rPr>
  </w:style>
  <w:style w:type="paragraph" w:styleId="751">
    <w:name w:val="List Paragraph"/>
    <w:basedOn w:val="736"/>
    <w:uiPriority w:val="34"/>
    <w:qFormat/>
    <w:pPr>
      <w:contextualSpacing/>
      <w:ind w:left="720"/>
    </w:pPr>
  </w:style>
  <w:style w:type="paragraph" w:styleId="752">
    <w:name w:val="Header"/>
    <w:basedOn w:val="736"/>
    <w:link w:val="753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53" w:customStyle="1">
    <w:name w:val="Верхний колонтитул Знак"/>
    <w:basedOn w:val="743"/>
    <w:link w:val="752"/>
    <w:uiPriority w:val="99"/>
  </w:style>
  <w:style w:type="character" w:styleId="754">
    <w:name w:val="page number"/>
    <w:basedOn w:val="743"/>
    <w:uiPriority w:val="99"/>
    <w:semiHidden/>
    <w:unhideWhenUsed/>
  </w:style>
  <w:style w:type="paragraph" w:styleId="755">
    <w:name w:val="Footer"/>
    <w:basedOn w:val="736"/>
    <w:link w:val="756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56" w:customStyle="1">
    <w:name w:val="Нижний колонтитул Знак"/>
    <w:basedOn w:val="743"/>
    <w:link w:val="755"/>
    <w:uiPriority w:val="99"/>
  </w:style>
  <w:style w:type="paragraph" w:styleId="757">
    <w:name w:val="Subtitle"/>
    <w:basedOn w:val="736"/>
    <w:next w:val="73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58" w:customStyle="1">
    <w:name w:val="StGen0"/>
    <w:basedOn w:val="744"/>
    <w:tblPr>
      <w:tblStyleRowBandSize w:val="1"/>
      <w:tblStyleColBandSize w:val="1"/>
    </w:tblPr>
  </w:style>
  <w:style w:type="table" w:styleId="759" w:customStyle="1">
    <w:name w:val="StGen1"/>
    <w:basedOn w:val="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60" w:customStyle="1">
    <w:name w:val="StGen2"/>
    <w:basedOn w:val="74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761">
    <w:name w:val="Normal (Web)"/>
    <w:basedOn w:val="736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762" w:customStyle="1">
    <w:name w:val="StGen3"/>
    <w:basedOn w:val="7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63" w:customStyle="1">
    <w:name w:val="StGen4"/>
    <w:basedOn w:val="7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64" w:customStyle="1">
    <w:name w:val="StGen5"/>
    <w:basedOn w:val="74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765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766">
    <w:name w:val="annotation text"/>
    <w:basedOn w:val="736"/>
    <w:link w:val="767"/>
    <w:uiPriority w:val="99"/>
    <w:semiHidden/>
    <w:unhideWhenUsed/>
    <w:rPr>
      <w:sz w:val="20"/>
      <w:szCs w:val="20"/>
    </w:rPr>
  </w:style>
  <w:style w:type="character" w:styleId="767" w:customStyle="1">
    <w:name w:val="Текст примечания Знак"/>
    <w:basedOn w:val="743"/>
    <w:link w:val="766"/>
    <w:uiPriority w:val="99"/>
    <w:semiHidden/>
    <w:rPr>
      <w:sz w:val="20"/>
      <w:szCs w:val="20"/>
    </w:rPr>
  </w:style>
  <w:style w:type="paragraph" w:styleId="768">
    <w:name w:val="annotation subject"/>
    <w:basedOn w:val="766"/>
    <w:next w:val="766"/>
    <w:link w:val="769"/>
    <w:uiPriority w:val="99"/>
    <w:semiHidden/>
    <w:unhideWhenUsed/>
    <w:rPr>
      <w:b/>
      <w:bCs/>
    </w:rPr>
  </w:style>
  <w:style w:type="character" w:styleId="769" w:customStyle="1">
    <w:name w:val="Тема примечания Знак"/>
    <w:basedOn w:val="767"/>
    <w:link w:val="768"/>
    <w:uiPriority w:val="99"/>
    <w:semiHidden/>
    <w:rPr>
      <w:b/>
      <w:bCs/>
      <w:sz w:val="20"/>
      <w:szCs w:val="20"/>
    </w:rPr>
  </w:style>
  <w:style w:type="table" w:styleId="770" w:customStyle="1">
    <w:name w:val="StGen6"/>
    <w:basedOn w:val="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71" w:customStyle="1">
    <w:name w:val="StGen7"/>
    <w:basedOn w:val="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72" w:customStyle="1">
    <w:name w:val="StGen8"/>
    <w:basedOn w:val="74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773" w:customStyle="1">
    <w:name w:val="apple-converted-space"/>
    <w:basedOn w:val="743"/>
  </w:style>
  <w:style w:type="paragraph" w:styleId="774" w:customStyle="1">
    <w:name w:val="p1"/>
    <w:basedOn w:val="736"/>
    <w:rPr>
      <w:rFonts w:ascii="Arial" w:hAnsi="Arial" w:eastAsia="Times New Roman" w:cs="Arial"/>
      <w:color w:val="000000"/>
      <w:sz w:val="18"/>
      <w:szCs w:val="18"/>
      <w:lang w:eastAsia="ru-RU"/>
    </w:rPr>
  </w:style>
  <w:style w:type="character" w:styleId="775" w:customStyle="1">
    <w:name w:val="copy_target"/>
    <w:basedOn w:val="74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mailto:info@mpara.ru" TargetMode="External"/><Relationship Id="rId15" Type="http://schemas.openxmlformats.org/officeDocument/2006/relationships/hyperlink" Target="mailto:info@mpara.ru" TargetMode="External"/><Relationship Id="rId16" Type="http://schemas.openxmlformats.org/officeDocument/2006/relationships/hyperlink" Target="mailto:info@mpar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hsQ3wSLc3Pi5D002CNjFobyGg==">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F</dc:creator>
  <cp:lastModifiedBy>Александр Широких</cp:lastModifiedBy>
  <cp:revision>17</cp:revision>
  <dcterms:created xsi:type="dcterms:W3CDTF">2025-04-30T09:40:00Z</dcterms:created>
  <dcterms:modified xsi:type="dcterms:W3CDTF">2025-05-05T12:21:58Z</dcterms:modified>
</cp:coreProperties>
</file>